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pdf" ContentType="application/pd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25" w:rsidRDefault="001177EB" w:rsidP="00110525">
      <w:pPr>
        <w:jc w:val="center"/>
        <w:rPr>
          <w:rFonts w:ascii="Times" w:hAnsi="Times"/>
          <w:b/>
          <w:sz w:val="24"/>
          <w:lang w:eastAsia="ja-JP"/>
        </w:rPr>
      </w:pPr>
      <w:r>
        <w:rPr>
          <w:rFonts w:ascii="Times" w:hAnsi="Times"/>
          <w:b/>
          <w:sz w:val="24"/>
          <w:lang w:eastAsia="ja-JP"/>
        </w:rPr>
        <w:t>George Mason University</w:t>
      </w:r>
    </w:p>
    <w:p w:rsidR="00110525" w:rsidRDefault="001177EB" w:rsidP="00110525">
      <w:pPr>
        <w:jc w:val="center"/>
        <w:rPr>
          <w:rFonts w:ascii="Times" w:hAnsi="Times"/>
          <w:b/>
          <w:sz w:val="24"/>
          <w:lang w:eastAsia="ja-JP"/>
        </w:rPr>
      </w:pPr>
      <w:r>
        <w:rPr>
          <w:rFonts w:ascii="Times" w:hAnsi="Times"/>
          <w:b/>
          <w:sz w:val="24"/>
          <w:lang w:eastAsia="ja-JP"/>
        </w:rPr>
        <w:t>School of Recreation, Health, Fitness and Tourism</w:t>
      </w:r>
    </w:p>
    <w:p w:rsidR="00110525" w:rsidRDefault="001177EB" w:rsidP="00110525">
      <w:pPr>
        <w:jc w:val="center"/>
        <w:rPr>
          <w:rFonts w:ascii="Times" w:hAnsi="Times"/>
          <w:b/>
          <w:sz w:val="24"/>
          <w:lang w:eastAsia="ja-JP"/>
        </w:rPr>
      </w:pPr>
      <w:r>
        <w:rPr>
          <w:rFonts w:ascii="Times" w:hAnsi="Times"/>
          <w:b/>
          <w:sz w:val="24"/>
          <w:lang w:eastAsia="ja-JP"/>
        </w:rPr>
        <w:t>HEAL 110 Personal Health</w:t>
      </w:r>
    </w:p>
    <w:p w:rsidR="00110525" w:rsidRDefault="00C7395D" w:rsidP="00110525">
      <w:pPr>
        <w:jc w:val="center"/>
        <w:rPr>
          <w:rFonts w:ascii="Times" w:hAnsi="Times"/>
          <w:b/>
          <w:sz w:val="24"/>
          <w:lang w:eastAsia="ja-JP"/>
        </w:rPr>
      </w:pPr>
      <w:r>
        <w:rPr>
          <w:rFonts w:ascii="Times" w:hAnsi="Times"/>
          <w:b/>
          <w:sz w:val="24"/>
          <w:lang w:eastAsia="ja-JP"/>
        </w:rPr>
        <w:t>Fall 2009</w:t>
      </w:r>
    </w:p>
    <w:p w:rsidR="00110525" w:rsidRDefault="00110525">
      <w:pPr>
        <w:rPr>
          <w:rFonts w:ascii="Times" w:hAnsi="Times"/>
          <w:sz w:val="24"/>
          <w:lang w:eastAsia="ja-JP"/>
        </w:rPr>
      </w:pPr>
    </w:p>
    <w:tbl>
      <w:tblPr>
        <w:tblW w:w="0" w:type="auto"/>
        <w:tblInd w:w="120" w:type="dxa"/>
        <w:tblLayout w:type="fixed"/>
        <w:tblCellMar>
          <w:left w:w="120" w:type="dxa"/>
          <w:right w:w="120" w:type="dxa"/>
        </w:tblCellMar>
        <w:tblLook w:val="0000"/>
      </w:tblPr>
      <w:tblGrid>
        <w:gridCol w:w="2340"/>
        <w:gridCol w:w="2340"/>
        <w:gridCol w:w="2340"/>
        <w:gridCol w:w="2340"/>
      </w:tblGrid>
      <w:tr w:rsidR="00110525" w:rsidRPr="00ED62C2">
        <w:tc>
          <w:tcPr>
            <w:tcW w:w="2340" w:type="dxa"/>
          </w:tcPr>
          <w:p w:rsidR="00110525" w:rsidRPr="00ED62C2" w:rsidRDefault="001177EB">
            <w:pPr>
              <w:rPr>
                <w:lang w:eastAsia="ja-JP"/>
              </w:rPr>
            </w:pPr>
            <w:r w:rsidRPr="00ED62C2">
              <w:rPr>
                <w:lang w:eastAsia="ja-JP"/>
              </w:rPr>
              <w:t>Day/time:</w:t>
            </w:r>
          </w:p>
        </w:tc>
        <w:tc>
          <w:tcPr>
            <w:tcW w:w="2340" w:type="dxa"/>
          </w:tcPr>
          <w:p w:rsidR="00110525" w:rsidRPr="00ED62C2" w:rsidRDefault="001177EB">
            <w:pPr>
              <w:rPr>
                <w:lang w:eastAsia="ja-JP"/>
              </w:rPr>
            </w:pPr>
            <w:r w:rsidRPr="00ED62C2">
              <w:rPr>
                <w:lang w:eastAsia="ja-JP"/>
              </w:rPr>
              <w:t>7:20p W</w:t>
            </w:r>
          </w:p>
        </w:tc>
        <w:tc>
          <w:tcPr>
            <w:tcW w:w="2340" w:type="dxa"/>
          </w:tcPr>
          <w:p w:rsidR="00110525" w:rsidRPr="00ED62C2" w:rsidRDefault="001177EB">
            <w:pPr>
              <w:rPr>
                <w:lang w:eastAsia="ja-JP"/>
              </w:rPr>
            </w:pPr>
            <w:r w:rsidRPr="00ED62C2">
              <w:rPr>
                <w:lang w:eastAsia="ja-JP"/>
              </w:rPr>
              <w:t>Location:</w:t>
            </w:r>
          </w:p>
        </w:tc>
        <w:tc>
          <w:tcPr>
            <w:tcW w:w="2340" w:type="dxa"/>
          </w:tcPr>
          <w:p w:rsidR="00110525" w:rsidRPr="00ED62C2" w:rsidRDefault="00ED62C2">
            <w:pPr>
              <w:rPr>
                <w:lang w:eastAsia="ja-JP"/>
              </w:rPr>
            </w:pPr>
            <w:r w:rsidRPr="00ED62C2">
              <w:rPr>
                <w:rFonts w:cs="Verdana"/>
                <w:szCs w:val="24"/>
              </w:rPr>
              <w:t>Robinson Hall B111</w:t>
            </w:r>
          </w:p>
        </w:tc>
      </w:tr>
      <w:tr w:rsidR="00110525">
        <w:tc>
          <w:tcPr>
            <w:tcW w:w="2340" w:type="dxa"/>
          </w:tcPr>
          <w:p w:rsidR="00110525" w:rsidRDefault="001177EB">
            <w:pPr>
              <w:rPr>
                <w:rFonts w:ascii="Times" w:hAnsi="Times"/>
                <w:sz w:val="21"/>
                <w:lang w:eastAsia="ja-JP"/>
              </w:rPr>
            </w:pPr>
            <w:r>
              <w:rPr>
                <w:rFonts w:ascii="Times" w:hAnsi="Times"/>
                <w:sz w:val="21"/>
                <w:lang w:eastAsia="ja-JP"/>
              </w:rPr>
              <w:t>Professor:</w:t>
            </w:r>
          </w:p>
        </w:tc>
        <w:tc>
          <w:tcPr>
            <w:tcW w:w="2340" w:type="dxa"/>
          </w:tcPr>
          <w:p w:rsidR="00110525" w:rsidRDefault="001177EB">
            <w:pPr>
              <w:rPr>
                <w:rFonts w:ascii="Times" w:hAnsi="Times"/>
                <w:sz w:val="21"/>
                <w:lang w:eastAsia="ja-JP"/>
              </w:rPr>
            </w:pPr>
            <w:r>
              <w:rPr>
                <w:rFonts w:ascii="Times" w:hAnsi="Times"/>
                <w:sz w:val="21"/>
                <w:lang w:eastAsia="ja-JP"/>
              </w:rPr>
              <w:t>Rich Miller Ed.D.</w:t>
            </w:r>
          </w:p>
        </w:tc>
        <w:tc>
          <w:tcPr>
            <w:tcW w:w="2340" w:type="dxa"/>
          </w:tcPr>
          <w:p w:rsidR="00110525" w:rsidRDefault="001177EB">
            <w:pPr>
              <w:rPr>
                <w:rFonts w:ascii="Times" w:hAnsi="Times"/>
                <w:sz w:val="21"/>
                <w:lang w:eastAsia="ja-JP"/>
              </w:rPr>
            </w:pPr>
            <w:r>
              <w:rPr>
                <w:rFonts w:ascii="Times" w:hAnsi="Times"/>
                <w:sz w:val="21"/>
                <w:lang w:eastAsia="ja-JP"/>
              </w:rPr>
              <w:t>Email address:</w:t>
            </w:r>
          </w:p>
        </w:tc>
        <w:tc>
          <w:tcPr>
            <w:tcW w:w="2340" w:type="dxa"/>
          </w:tcPr>
          <w:p w:rsidR="00110525" w:rsidRDefault="001177EB">
            <w:pPr>
              <w:rPr>
                <w:rFonts w:ascii="Times" w:hAnsi="Times"/>
                <w:sz w:val="21"/>
                <w:lang w:eastAsia="ja-JP"/>
              </w:rPr>
            </w:pPr>
            <w:r>
              <w:rPr>
                <w:rFonts w:ascii="Times" w:hAnsi="Times"/>
                <w:sz w:val="21"/>
                <w:lang w:eastAsia="ja-JP"/>
              </w:rPr>
              <w:t>emiller@gmu.edu</w:t>
            </w:r>
          </w:p>
        </w:tc>
      </w:tr>
      <w:tr w:rsidR="00110525">
        <w:tc>
          <w:tcPr>
            <w:tcW w:w="2340" w:type="dxa"/>
          </w:tcPr>
          <w:p w:rsidR="00110525" w:rsidRDefault="00110525">
            <w:pPr>
              <w:rPr>
                <w:rFonts w:ascii="Times" w:hAnsi="Times"/>
                <w:lang w:eastAsia="ja-JP"/>
              </w:rPr>
            </w:pPr>
          </w:p>
        </w:tc>
        <w:tc>
          <w:tcPr>
            <w:tcW w:w="2340" w:type="dxa"/>
          </w:tcPr>
          <w:p w:rsidR="00110525" w:rsidRDefault="001177EB">
            <w:pPr>
              <w:rPr>
                <w:rFonts w:ascii="Times" w:hAnsi="Times"/>
                <w:sz w:val="21"/>
                <w:lang w:eastAsia="ja-JP"/>
              </w:rPr>
            </w:pPr>
            <w:r>
              <w:rPr>
                <w:rFonts w:ascii="Times" w:hAnsi="Times"/>
                <w:sz w:val="21"/>
                <w:lang w:eastAsia="ja-JP"/>
              </w:rPr>
              <w:t>Occoquan 220D</w:t>
            </w:r>
          </w:p>
        </w:tc>
        <w:tc>
          <w:tcPr>
            <w:tcW w:w="2340" w:type="dxa"/>
          </w:tcPr>
          <w:p w:rsidR="00110525" w:rsidRDefault="001177EB">
            <w:pPr>
              <w:rPr>
                <w:rFonts w:ascii="Times" w:hAnsi="Times"/>
                <w:sz w:val="21"/>
                <w:lang w:eastAsia="ja-JP"/>
              </w:rPr>
            </w:pPr>
            <w:r>
              <w:rPr>
                <w:rFonts w:ascii="Times" w:hAnsi="Times"/>
                <w:sz w:val="21"/>
                <w:lang w:eastAsia="ja-JP"/>
              </w:rPr>
              <w:t>Phone:</w:t>
            </w:r>
          </w:p>
        </w:tc>
        <w:tc>
          <w:tcPr>
            <w:tcW w:w="2340" w:type="dxa"/>
          </w:tcPr>
          <w:p w:rsidR="00110525" w:rsidRDefault="001177EB">
            <w:pPr>
              <w:rPr>
                <w:rFonts w:ascii="Times" w:hAnsi="Times"/>
                <w:sz w:val="21"/>
                <w:lang w:eastAsia="ja-JP"/>
              </w:rPr>
            </w:pPr>
            <w:r>
              <w:rPr>
                <w:rFonts w:ascii="Times" w:hAnsi="Times"/>
                <w:sz w:val="21"/>
                <w:lang w:eastAsia="ja-JP"/>
              </w:rPr>
              <w:t>(703)993-2066</w:t>
            </w:r>
          </w:p>
        </w:tc>
      </w:tr>
      <w:tr w:rsidR="00110525">
        <w:tc>
          <w:tcPr>
            <w:tcW w:w="2340" w:type="dxa"/>
          </w:tcPr>
          <w:p w:rsidR="00110525" w:rsidRDefault="001177EB">
            <w:pPr>
              <w:rPr>
                <w:rFonts w:ascii="Times" w:hAnsi="Times"/>
                <w:sz w:val="21"/>
                <w:lang w:eastAsia="ja-JP"/>
              </w:rPr>
            </w:pPr>
            <w:r>
              <w:rPr>
                <w:rFonts w:ascii="Times" w:hAnsi="Times"/>
                <w:sz w:val="21"/>
                <w:lang w:eastAsia="ja-JP"/>
              </w:rPr>
              <w:t>Office Hours:</w:t>
            </w:r>
          </w:p>
        </w:tc>
        <w:tc>
          <w:tcPr>
            <w:tcW w:w="2340" w:type="dxa"/>
          </w:tcPr>
          <w:p w:rsidR="00110525" w:rsidRDefault="00110525">
            <w:pPr>
              <w:rPr>
                <w:rFonts w:ascii="Times" w:hAnsi="Times"/>
                <w:sz w:val="21"/>
                <w:lang w:eastAsia="ja-JP"/>
              </w:rPr>
            </w:pPr>
            <w:r>
              <w:rPr>
                <w:rFonts w:ascii="Times" w:hAnsi="Times"/>
                <w:sz w:val="21"/>
                <w:lang w:eastAsia="ja-JP"/>
              </w:rPr>
              <w:t xml:space="preserve">8:30 </w:t>
            </w:r>
            <w:r w:rsidR="001177EB">
              <w:rPr>
                <w:rFonts w:ascii="Times" w:hAnsi="Times"/>
                <w:sz w:val="21"/>
                <w:lang w:eastAsia="ja-JP"/>
              </w:rPr>
              <w:t>-10:30a M W</w:t>
            </w:r>
          </w:p>
        </w:tc>
        <w:tc>
          <w:tcPr>
            <w:tcW w:w="2340" w:type="dxa"/>
          </w:tcPr>
          <w:p w:rsidR="00110525" w:rsidRDefault="001177EB">
            <w:pPr>
              <w:rPr>
                <w:rFonts w:ascii="Times" w:hAnsi="Times"/>
                <w:sz w:val="21"/>
                <w:lang w:eastAsia="ja-JP"/>
              </w:rPr>
            </w:pPr>
            <w:r>
              <w:rPr>
                <w:rFonts w:ascii="Times" w:hAnsi="Times"/>
                <w:sz w:val="21"/>
                <w:lang w:eastAsia="ja-JP"/>
              </w:rPr>
              <w:t>Fax:</w:t>
            </w:r>
          </w:p>
        </w:tc>
        <w:tc>
          <w:tcPr>
            <w:tcW w:w="2340" w:type="dxa"/>
          </w:tcPr>
          <w:p w:rsidR="00110525" w:rsidRDefault="001177EB">
            <w:pPr>
              <w:rPr>
                <w:rFonts w:ascii="Times" w:hAnsi="Times"/>
                <w:sz w:val="21"/>
                <w:lang w:eastAsia="ja-JP"/>
              </w:rPr>
            </w:pPr>
            <w:r>
              <w:rPr>
                <w:rFonts w:ascii="Times" w:hAnsi="Times"/>
                <w:sz w:val="21"/>
                <w:lang w:eastAsia="ja-JP"/>
              </w:rPr>
              <w:t>(703)993-2025</w:t>
            </w:r>
          </w:p>
        </w:tc>
      </w:tr>
    </w:tbl>
    <w:p w:rsidR="00110525" w:rsidRDefault="00110525">
      <w:pPr>
        <w:rPr>
          <w:rFonts w:ascii="Times" w:hAnsi="Times"/>
          <w:sz w:val="24"/>
          <w:lang w:eastAsia="ja-JP"/>
        </w:rPr>
      </w:pPr>
    </w:p>
    <w:p w:rsidR="00110525" w:rsidRDefault="001177EB">
      <w:pPr>
        <w:rPr>
          <w:rFonts w:ascii="Times" w:hAnsi="Times"/>
          <w:b/>
          <w:sz w:val="21"/>
          <w:lang w:eastAsia="ja-JP"/>
        </w:rPr>
      </w:pPr>
      <w:r>
        <w:rPr>
          <w:rFonts w:ascii="Times" w:hAnsi="Times"/>
          <w:b/>
          <w:sz w:val="21"/>
          <w:lang w:eastAsia="ja-JP"/>
        </w:rPr>
        <w:t>Course Description:</w:t>
      </w:r>
    </w:p>
    <w:p w:rsidR="00110525" w:rsidRDefault="00110525">
      <w:pPr>
        <w:rPr>
          <w:rFonts w:ascii="Times" w:hAnsi="Times"/>
          <w:sz w:val="24"/>
          <w:lang w:eastAsia="ja-JP"/>
        </w:rPr>
      </w:pPr>
    </w:p>
    <w:p w:rsidR="00110525" w:rsidRDefault="001177EB">
      <w:pPr>
        <w:rPr>
          <w:rFonts w:ascii="Times" w:hAnsi="Times"/>
          <w:sz w:val="21"/>
          <w:lang w:eastAsia="ja-JP"/>
        </w:rPr>
      </w:pPr>
      <w:r>
        <w:rPr>
          <w:rFonts w:ascii="Times" w:hAnsi="Times"/>
          <w:sz w:val="21"/>
          <w:lang w:eastAsia="ja-JP"/>
        </w:rPr>
        <w:t>Focuses on individual and family well-being through the integration of such topics as fitness, nutrition, human sexuality, consumer-health, drug education, and mental health.</w:t>
      </w:r>
    </w:p>
    <w:p w:rsidR="00110525" w:rsidRDefault="00110525">
      <w:pPr>
        <w:rPr>
          <w:rFonts w:ascii="Times" w:hAnsi="Times"/>
          <w:sz w:val="24"/>
          <w:lang w:eastAsia="ja-JP"/>
        </w:rPr>
      </w:pPr>
    </w:p>
    <w:p w:rsidR="00110525" w:rsidRDefault="001177EB">
      <w:pPr>
        <w:rPr>
          <w:rFonts w:ascii="Times" w:hAnsi="Times"/>
          <w:b/>
          <w:sz w:val="21"/>
          <w:lang w:eastAsia="ja-JP"/>
        </w:rPr>
      </w:pPr>
      <w:r>
        <w:rPr>
          <w:rFonts w:ascii="Times" w:hAnsi="Times"/>
          <w:b/>
          <w:sz w:val="21"/>
          <w:lang w:eastAsia="ja-JP"/>
        </w:rPr>
        <w:t>Course Objectives:</w:t>
      </w:r>
    </w:p>
    <w:p w:rsidR="00110525" w:rsidRDefault="00110525">
      <w:pPr>
        <w:rPr>
          <w:rFonts w:ascii="Times" w:hAnsi="Times"/>
          <w:sz w:val="24"/>
          <w:lang w:eastAsia="ja-JP"/>
        </w:rPr>
      </w:pPr>
    </w:p>
    <w:p w:rsidR="00110525" w:rsidRDefault="001177EB">
      <w:pPr>
        <w:rPr>
          <w:rFonts w:ascii="Times" w:hAnsi="Times"/>
          <w:sz w:val="21"/>
          <w:lang w:eastAsia="ja-JP"/>
        </w:rPr>
      </w:pPr>
      <w:r>
        <w:rPr>
          <w:rFonts w:ascii="Times" w:hAnsi="Times"/>
          <w:sz w:val="21"/>
          <w:lang w:eastAsia="ja-JP"/>
        </w:rPr>
        <w:t>By the end of the course the students will be able to:</w:t>
      </w:r>
    </w:p>
    <w:p w:rsidR="00110525" w:rsidRDefault="00110525">
      <w:pPr>
        <w:rPr>
          <w:rFonts w:ascii="Times" w:hAnsi="Times"/>
          <w:sz w:val="24"/>
          <w:lang w:eastAsia="ja-JP"/>
        </w:rPr>
      </w:pPr>
    </w:p>
    <w:p w:rsidR="00110525" w:rsidRDefault="001177EB">
      <w:pPr>
        <w:rPr>
          <w:rFonts w:ascii="Times" w:hAnsi="Times"/>
          <w:sz w:val="21"/>
          <w:lang w:eastAsia="ja-JP"/>
        </w:rPr>
      </w:pPr>
      <w:r>
        <w:rPr>
          <w:rFonts w:ascii="Times" w:hAnsi="Times"/>
          <w:sz w:val="21"/>
          <w:lang w:eastAsia="ja-JP"/>
        </w:rPr>
        <w:t>1. Recognize specific aspects of their own lifestyle that are beneficial or detrimental to their health.</w:t>
      </w:r>
    </w:p>
    <w:p w:rsidR="00110525" w:rsidRDefault="001177EB">
      <w:pPr>
        <w:rPr>
          <w:rFonts w:ascii="Times" w:hAnsi="Times"/>
          <w:sz w:val="21"/>
          <w:lang w:eastAsia="ja-JP"/>
        </w:rPr>
      </w:pPr>
      <w:r>
        <w:rPr>
          <w:rFonts w:ascii="Times" w:hAnsi="Times"/>
          <w:sz w:val="21"/>
          <w:lang w:eastAsia="ja-JP"/>
        </w:rPr>
        <w:t>2. Identify ways they can improve their own level of health.</w:t>
      </w:r>
    </w:p>
    <w:p w:rsidR="00110525" w:rsidRDefault="001177EB">
      <w:pPr>
        <w:rPr>
          <w:rFonts w:ascii="Times" w:hAnsi="Times"/>
          <w:sz w:val="21"/>
          <w:lang w:eastAsia="ja-JP"/>
        </w:rPr>
      </w:pPr>
      <w:r>
        <w:rPr>
          <w:rFonts w:ascii="Times" w:hAnsi="Times"/>
          <w:sz w:val="21"/>
          <w:lang w:eastAsia="ja-JP"/>
        </w:rPr>
        <w:t>3. Investigate the basic principles of the functioning of the human body as it relates to a person’s health behavior choices and practices.</w:t>
      </w:r>
    </w:p>
    <w:p w:rsidR="00110525" w:rsidRDefault="001177EB">
      <w:pPr>
        <w:rPr>
          <w:rFonts w:ascii="Times" w:hAnsi="Times"/>
          <w:sz w:val="21"/>
          <w:lang w:eastAsia="ja-JP"/>
        </w:rPr>
      </w:pPr>
      <w:r>
        <w:rPr>
          <w:rFonts w:ascii="Times" w:hAnsi="Times"/>
          <w:sz w:val="21"/>
          <w:lang w:eastAsia="ja-JP"/>
        </w:rPr>
        <w:t>4. Examine the key facts, issues and problems related to personal health promotion and wellness.</w:t>
      </w:r>
    </w:p>
    <w:p w:rsidR="00110525" w:rsidRDefault="001177EB">
      <w:pPr>
        <w:rPr>
          <w:rFonts w:ascii="Times" w:hAnsi="Times"/>
          <w:sz w:val="21"/>
          <w:lang w:eastAsia="ja-JP"/>
        </w:rPr>
      </w:pPr>
      <w:r>
        <w:rPr>
          <w:rFonts w:ascii="Times" w:hAnsi="Times"/>
          <w:sz w:val="21"/>
          <w:lang w:eastAsia="ja-JP"/>
        </w:rPr>
        <w:t>5. Appreciate each person’s role in taking responsibility for health care and prevention decisions.</w:t>
      </w:r>
    </w:p>
    <w:p w:rsidR="00110525" w:rsidRDefault="00110525">
      <w:pPr>
        <w:rPr>
          <w:rFonts w:ascii="Times" w:hAnsi="Times"/>
          <w:sz w:val="24"/>
          <w:lang w:eastAsia="ja-JP"/>
        </w:rPr>
      </w:pPr>
    </w:p>
    <w:p w:rsidR="00110525" w:rsidRDefault="001177EB">
      <w:pPr>
        <w:rPr>
          <w:rFonts w:ascii="Times" w:hAnsi="Times"/>
          <w:b/>
          <w:sz w:val="21"/>
          <w:lang w:eastAsia="ja-JP"/>
        </w:rPr>
      </w:pPr>
      <w:r>
        <w:rPr>
          <w:rFonts w:ascii="Times" w:hAnsi="Times"/>
          <w:b/>
          <w:sz w:val="21"/>
          <w:lang w:eastAsia="ja-JP"/>
        </w:rPr>
        <w:t>Required Readings:</w:t>
      </w:r>
    </w:p>
    <w:p w:rsidR="00110525" w:rsidRDefault="00110525">
      <w:pPr>
        <w:rPr>
          <w:rFonts w:ascii="Times" w:hAnsi="Times"/>
          <w:sz w:val="24"/>
          <w:lang w:eastAsia="ja-JP"/>
        </w:rPr>
      </w:pPr>
    </w:p>
    <w:p w:rsidR="00C7395D" w:rsidRPr="00ED62C2" w:rsidRDefault="001177EB">
      <w:pPr>
        <w:rPr>
          <w:lang w:eastAsia="ja-JP"/>
        </w:rPr>
      </w:pPr>
      <w:r w:rsidRPr="00ED62C2">
        <w:rPr>
          <w:lang w:eastAsia="ja-JP"/>
        </w:rPr>
        <w:t>Hales, D. (200</w:t>
      </w:r>
      <w:r w:rsidR="00507240" w:rsidRPr="00ED62C2">
        <w:rPr>
          <w:lang w:eastAsia="ja-JP"/>
        </w:rPr>
        <w:t>9</w:t>
      </w:r>
      <w:r w:rsidRPr="00ED62C2">
        <w:rPr>
          <w:lang w:eastAsia="ja-JP"/>
        </w:rPr>
        <w:t>). An invitation to health (2009-2010 ed.). Belmont, CA: W</w:t>
      </w:r>
      <w:r w:rsidR="00C7395D" w:rsidRPr="00ED62C2">
        <w:rPr>
          <w:lang w:eastAsia="ja-JP"/>
        </w:rPr>
        <w:t xml:space="preserve">adsworth Cengage Learning. ISBN 0495388556 </w:t>
      </w:r>
      <w:r w:rsidRPr="00ED62C2">
        <w:rPr>
          <w:lang w:eastAsia="ja-JP"/>
        </w:rPr>
        <w:t>13: 978-0-495-38855-5</w:t>
      </w:r>
    </w:p>
    <w:p w:rsidR="00110525" w:rsidRPr="00ED62C2" w:rsidRDefault="00C7395D">
      <w:pPr>
        <w:rPr>
          <w:lang w:eastAsia="ja-JP"/>
        </w:rPr>
      </w:pPr>
      <w:r w:rsidRPr="00ED62C2">
        <w:rPr>
          <w:rFonts w:cs="Verdana"/>
          <w:szCs w:val="22"/>
        </w:rPr>
        <w:t xml:space="preserve">Additional course material: </w:t>
      </w:r>
      <w:r w:rsidR="001177EB" w:rsidRPr="00ED62C2">
        <w:rPr>
          <w:lang w:eastAsia="ja-JP"/>
        </w:rPr>
        <w:t>http://</w:t>
      </w:r>
      <w:r w:rsidRPr="00ED62C2">
        <w:rPr>
          <w:lang w:eastAsia="ja-JP"/>
        </w:rPr>
        <w:t>courses</w:t>
      </w:r>
      <w:r w:rsidR="001177EB" w:rsidRPr="00ED62C2">
        <w:rPr>
          <w:lang w:eastAsia="ja-JP"/>
        </w:rPr>
        <w:t>.gmu.edu</w:t>
      </w:r>
    </w:p>
    <w:p w:rsidR="00110525" w:rsidRDefault="00110525">
      <w:pPr>
        <w:rPr>
          <w:rFonts w:ascii="Times" w:hAnsi="Times"/>
          <w:sz w:val="24"/>
          <w:lang w:eastAsia="ja-JP"/>
        </w:rPr>
      </w:pPr>
    </w:p>
    <w:p w:rsidR="00110525" w:rsidRDefault="001177EB">
      <w:pPr>
        <w:rPr>
          <w:rFonts w:ascii="Times" w:hAnsi="Times"/>
          <w:b/>
          <w:sz w:val="21"/>
          <w:lang w:eastAsia="ja-JP"/>
        </w:rPr>
      </w:pPr>
      <w:r>
        <w:rPr>
          <w:rFonts w:ascii="Times" w:hAnsi="Times"/>
          <w:b/>
          <w:sz w:val="21"/>
          <w:lang w:eastAsia="ja-JP"/>
        </w:rPr>
        <w:t>Evaluation:</w:t>
      </w:r>
    </w:p>
    <w:p w:rsidR="00110525" w:rsidRDefault="00110525">
      <w:pPr>
        <w:rPr>
          <w:rFonts w:ascii="Times" w:hAnsi="Times"/>
          <w:sz w:val="24"/>
          <w:lang w:eastAsia="ja-JP"/>
        </w:rPr>
      </w:pPr>
    </w:p>
    <w:tbl>
      <w:tblPr>
        <w:tblW w:w="0" w:type="auto"/>
        <w:tblInd w:w="120" w:type="dxa"/>
        <w:tblLayout w:type="fixed"/>
        <w:tblCellMar>
          <w:left w:w="120" w:type="dxa"/>
          <w:right w:w="120" w:type="dxa"/>
        </w:tblCellMar>
        <w:tblLook w:val="0000"/>
      </w:tblPr>
      <w:tblGrid>
        <w:gridCol w:w="4680"/>
        <w:gridCol w:w="4680"/>
      </w:tblGrid>
      <w:tr w:rsidR="00110525">
        <w:tc>
          <w:tcPr>
            <w:tcW w:w="4680" w:type="dxa"/>
          </w:tcPr>
          <w:p w:rsidR="00110525" w:rsidRDefault="001177EB">
            <w:pPr>
              <w:rPr>
                <w:rFonts w:ascii="Times" w:hAnsi="Times"/>
                <w:sz w:val="21"/>
                <w:lang w:eastAsia="ja-JP"/>
              </w:rPr>
            </w:pPr>
            <w:r>
              <w:rPr>
                <w:rFonts w:ascii="Times" w:hAnsi="Times"/>
                <w:sz w:val="21"/>
                <w:lang w:eastAsia="ja-JP"/>
              </w:rPr>
              <w:t>15% - First test</w:t>
            </w:r>
          </w:p>
        </w:tc>
        <w:tc>
          <w:tcPr>
            <w:tcW w:w="4680" w:type="dxa"/>
          </w:tcPr>
          <w:p w:rsidR="00110525" w:rsidRDefault="001177EB">
            <w:pPr>
              <w:rPr>
                <w:rFonts w:ascii="Times" w:hAnsi="Times"/>
                <w:sz w:val="21"/>
                <w:lang w:eastAsia="ja-JP"/>
              </w:rPr>
            </w:pPr>
            <w:r>
              <w:rPr>
                <w:rFonts w:ascii="Times" w:hAnsi="Times"/>
                <w:sz w:val="21"/>
                <w:lang w:eastAsia="ja-JP"/>
              </w:rPr>
              <w:t>30% - Health Change Plan</w:t>
            </w:r>
          </w:p>
        </w:tc>
      </w:tr>
      <w:tr w:rsidR="00110525">
        <w:tc>
          <w:tcPr>
            <w:tcW w:w="4680" w:type="dxa"/>
          </w:tcPr>
          <w:p w:rsidR="00110525" w:rsidRDefault="001177EB">
            <w:pPr>
              <w:rPr>
                <w:rFonts w:ascii="Times" w:hAnsi="Times"/>
                <w:sz w:val="21"/>
                <w:lang w:eastAsia="ja-JP"/>
              </w:rPr>
            </w:pPr>
            <w:r>
              <w:rPr>
                <w:rFonts w:ascii="Times" w:hAnsi="Times"/>
                <w:sz w:val="21"/>
                <w:lang w:eastAsia="ja-JP"/>
              </w:rPr>
              <w:t>15% - Second test</w:t>
            </w:r>
          </w:p>
        </w:tc>
        <w:tc>
          <w:tcPr>
            <w:tcW w:w="4680" w:type="dxa"/>
          </w:tcPr>
          <w:p w:rsidR="00110525" w:rsidRDefault="001177EB">
            <w:pPr>
              <w:rPr>
                <w:rFonts w:ascii="Times" w:hAnsi="Times"/>
                <w:sz w:val="21"/>
                <w:lang w:eastAsia="ja-JP"/>
              </w:rPr>
            </w:pPr>
            <w:r>
              <w:rPr>
                <w:rFonts w:ascii="Times" w:hAnsi="Times"/>
                <w:sz w:val="21"/>
                <w:lang w:eastAsia="ja-JP"/>
              </w:rPr>
              <w:t>25% - Participation</w:t>
            </w:r>
          </w:p>
        </w:tc>
      </w:tr>
    </w:tbl>
    <w:p w:rsidR="00110525" w:rsidRDefault="001177EB" w:rsidP="00110525">
      <w:pPr>
        <w:rPr>
          <w:rFonts w:ascii="Times" w:hAnsi="Times"/>
          <w:sz w:val="21"/>
          <w:lang w:eastAsia="ja-JP"/>
        </w:rPr>
      </w:pPr>
      <w:r>
        <w:rPr>
          <w:rFonts w:ascii="Times" w:hAnsi="Times"/>
          <w:sz w:val="24"/>
          <w:lang w:eastAsia="ja-JP"/>
        </w:rPr>
        <w:t xml:space="preserve">  </w:t>
      </w:r>
      <w:r>
        <w:rPr>
          <w:rFonts w:ascii="Times" w:hAnsi="Times"/>
          <w:sz w:val="21"/>
          <w:lang w:eastAsia="ja-JP"/>
        </w:rPr>
        <w:t>15% - Third test</w:t>
      </w:r>
    </w:p>
    <w:p w:rsidR="00110525" w:rsidRDefault="00110525">
      <w:pPr>
        <w:rPr>
          <w:rFonts w:ascii="Times" w:hAnsi="Times"/>
          <w:sz w:val="24"/>
          <w:lang w:eastAsia="ja-JP"/>
        </w:rPr>
      </w:pPr>
    </w:p>
    <w:p w:rsidR="00110525" w:rsidRDefault="001177EB">
      <w:pPr>
        <w:rPr>
          <w:rFonts w:ascii="Times" w:hAnsi="Times"/>
          <w:sz w:val="17"/>
          <w:lang w:eastAsia="ja-JP"/>
        </w:rPr>
      </w:pPr>
      <w:r>
        <w:rPr>
          <w:rFonts w:ascii="Times" w:hAnsi="Times"/>
          <w:sz w:val="17"/>
          <w:lang w:eastAsia="ja-JP"/>
        </w:rPr>
        <w:t>Grading: A+ 98-100, A 93-97, A- 90-92, B+ 87-89, B 83-86, B- 80-82, C+ 77-79, C 73-76, C- 70-72, D 60-69, F 0-59</w:t>
      </w:r>
    </w:p>
    <w:p w:rsidR="00110525" w:rsidRDefault="00110525">
      <w:pPr>
        <w:rPr>
          <w:rFonts w:ascii="Times" w:hAnsi="Times"/>
          <w:sz w:val="24"/>
          <w:lang w:eastAsia="ja-JP"/>
        </w:rPr>
      </w:pPr>
    </w:p>
    <w:p w:rsidR="00110525" w:rsidRDefault="001177EB">
      <w:pPr>
        <w:rPr>
          <w:rFonts w:ascii="Times" w:hAnsi="Times"/>
          <w:b/>
          <w:sz w:val="21"/>
          <w:lang w:eastAsia="ja-JP"/>
        </w:rPr>
      </w:pPr>
      <w:r>
        <w:rPr>
          <w:rFonts w:ascii="Times" w:hAnsi="Times"/>
          <w:b/>
          <w:sz w:val="21"/>
          <w:lang w:eastAsia="ja-JP"/>
        </w:rPr>
        <w:t>Learning Experiences:</w:t>
      </w:r>
    </w:p>
    <w:p w:rsidR="00110525" w:rsidRDefault="00110525">
      <w:pPr>
        <w:rPr>
          <w:rFonts w:ascii="Times" w:hAnsi="Times"/>
          <w:sz w:val="24"/>
          <w:lang w:eastAsia="ja-JP"/>
        </w:rPr>
      </w:pPr>
    </w:p>
    <w:p w:rsidR="00110525" w:rsidRDefault="001177EB">
      <w:pPr>
        <w:rPr>
          <w:rFonts w:ascii="Times" w:hAnsi="Times"/>
          <w:sz w:val="21"/>
          <w:lang w:eastAsia="ja-JP"/>
        </w:rPr>
      </w:pPr>
      <w:r>
        <w:rPr>
          <w:rFonts w:ascii="Times" w:hAnsi="Times"/>
          <w:sz w:val="21"/>
          <w:lang w:eastAsia="ja-JP"/>
        </w:rPr>
        <w:t xml:space="preserve">Each </w:t>
      </w:r>
      <w:r w:rsidR="00D01C36">
        <w:rPr>
          <w:rFonts w:ascii="Times" w:hAnsi="Times"/>
          <w:sz w:val="21"/>
          <w:lang w:eastAsia="ja-JP"/>
        </w:rPr>
        <w:t xml:space="preserve">online </w:t>
      </w:r>
      <w:r>
        <w:rPr>
          <w:rFonts w:ascii="Times" w:hAnsi="Times"/>
          <w:sz w:val="21"/>
          <w:lang w:eastAsia="ja-JP"/>
        </w:rPr>
        <w:t xml:space="preserve">test is composed of 50 multiple-choice questions. The tests are based on the content of the text as organized and presented in classroom lecture and reinforced through class activities. Each test will be graded 0-100 points and weighted .15 of overall course grade. </w:t>
      </w:r>
      <w:r w:rsidR="00D01C36">
        <w:rPr>
          <w:rFonts w:ascii="Times" w:hAnsi="Times"/>
          <w:sz w:val="21"/>
          <w:lang w:eastAsia="ja-JP"/>
        </w:rPr>
        <w:t xml:space="preserve">Points are deducted for submitting test after deadline. </w:t>
      </w:r>
      <w:r>
        <w:rPr>
          <w:rFonts w:ascii="Times" w:hAnsi="Times"/>
          <w:sz w:val="21"/>
          <w:lang w:eastAsia="ja-JP"/>
        </w:rPr>
        <w:t>To best prepare for the tests, students should use their lecture notes and class activity handouts to help focus their attention on important content in the textbook. Multiple-choice items will measure students' abilities to identify/recall, differentiate, apply and analyze subject material.</w:t>
      </w:r>
    </w:p>
    <w:p w:rsidR="00110525" w:rsidRPr="00A133B3" w:rsidRDefault="001177EB">
      <w:pPr>
        <w:rPr>
          <w:lang w:eastAsia="ja-JP"/>
        </w:rPr>
      </w:pPr>
      <w:r>
        <w:rPr>
          <w:rFonts w:ascii="Times" w:hAnsi="Times"/>
          <w:sz w:val="21"/>
          <w:lang w:eastAsia="ja-JP"/>
        </w:rPr>
        <w:br w:type="page"/>
      </w:r>
      <w:r w:rsidRPr="00A133B3">
        <w:rPr>
          <w:lang w:eastAsia="ja-JP"/>
        </w:rPr>
        <w:lastRenderedPageBreak/>
        <w:t>An online health change plan will be completed by the student. The plan will be implemented at the start of the semester and completed by the end of the semester. He/she will also make health change plan presentations in small groups at start, mid and end points of the course. The health change plan will be graded 0-100 points and weighted .30 of  overall course grade. The plan will be based on cognitive, affective and psychomotor learning experiences and will reinforce the important subject material in the course.</w:t>
      </w:r>
    </w:p>
    <w:p w:rsidR="00110525" w:rsidRPr="00A133B3" w:rsidRDefault="00110525">
      <w:pPr>
        <w:rPr>
          <w:lang w:eastAsia="ja-JP"/>
        </w:rPr>
      </w:pPr>
    </w:p>
    <w:p w:rsidR="00110525" w:rsidRPr="00A133B3" w:rsidRDefault="001177EB">
      <w:pPr>
        <w:rPr>
          <w:lang w:eastAsia="ja-JP"/>
        </w:rPr>
      </w:pPr>
      <w:r w:rsidRPr="00A133B3">
        <w:rPr>
          <w:lang w:eastAsia="ja-JP"/>
        </w:rPr>
        <w:t>Participation credit involves being in full attendance during each class day and actively involved in class activities. Arriving late, taking an extended break or leaving early from class results in partial credit. Student classroom computer use, other than to record lecture notes, is not active involvement in class activities and, therefore, results in partial credit. The percent of attended days will be weighted .25 of overall course grade. Class activities are based on cognitive, affective and psychomotor learning experiences and they will reinforce the important subject material in the course.</w:t>
      </w:r>
    </w:p>
    <w:p w:rsidR="00110525" w:rsidRDefault="00110525">
      <w:pPr>
        <w:rPr>
          <w:rFonts w:ascii="Times" w:hAnsi="Times"/>
          <w:sz w:val="24"/>
          <w:lang w:eastAsia="ja-JP"/>
        </w:rPr>
      </w:pPr>
    </w:p>
    <w:p w:rsidR="00110525" w:rsidRDefault="001177EB">
      <w:pPr>
        <w:rPr>
          <w:rFonts w:ascii="Times" w:hAnsi="Times"/>
          <w:b/>
          <w:sz w:val="21"/>
          <w:lang w:eastAsia="ja-JP"/>
        </w:rPr>
      </w:pPr>
      <w:r>
        <w:rPr>
          <w:rFonts w:ascii="Times" w:hAnsi="Times"/>
          <w:b/>
          <w:sz w:val="21"/>
          <w:lang w:eastAsia="ja-JP"/>
        </w:rPr>
        <w:t>Course Outline:</w:t>
      </w:r>
    </w:p>
    <w:p w:rsidR="00110525" w:rsidRDefault="00110525">
      <w:pPr>
        <w:rPr>
          <w:rFonts w:ascii="Times" w:hAnsi="Times"/>
          <w:sz w:val="24"/>
          <w:lang w:eastAsia="ja-JP"/>
        </w:rPr>
      </w:pPr>
    </w:p>
    <w:p w:rsidR="00110525" w:rsidRPr="00A133B3" w:rsidRDefault="001177EB">
      <w:pPr>
        <w:rPr>
          <w:lang w:eastAsia="ja-JP"/>
        </w:rPr>
      </w:pPr>
      <w:r w:rsidRPr="00A133B3">
        <w:rPr>
          <w:lang w:eastAsia="ja-JP"/>
        </w:rPr>
        <w:t>Each class session will be a combination of lecture, small group work, video discussion and other class activities. See Blackboard for exact dates.</w:t>
      </w:r>
    </w:p>
    <w:p w:rsidR="00110525" w:rsidRPr="00A133B3" w:rsidRDefault="00110525" w:rsidP="00110525">
      <w:pPr>
        <w:pStyle w:val="Header"/>
        <w:tabs>
          <w:tab w:val="clear" w:pos="4320"/>
          <w:tab w:val="clear" w:pos="8640"/>
        </w:tabs>
        <w:rPr>
          <w:lang w:eastAsia="ja-JP"/>
        </w:rPr>
      </w:pPr>
    </w:p>
    <w:tbl>
      <w:tblPr>
        <w:tblW w:w="0" w:type="auto"/>
        <w:tblInd w:w="120" w:type="dxa"/>
        <w:tblLayout w:type="fixed"/>
        <w:tblCellMar>
          <w:left w:w="120" w:type="dxa"/>
          <w:right w:w="120" w:type="dxa"/>
        </w:tblCellMar>
        <w:tblLook w:val="0000"/>
      </w:tblPr>
      <w:tblGrid>
        <w:gridCol w:w="1440"/>
        <w:gridCol w:w="7920"/>
      </w:tblGrid>
      <w:tr w:rsidR="00110525" w:rsidRPr="00A133B3">
        <w:tc>
          <w:tcPr>
            <w:tcW w:w="1440" w:type="dxa"/>
          </w:tcPr>
          <w:p w:rsidR="00110525" w:rsidRPr="00A133B3" w:rsidRDefault="001177EB">
            <w:pPr>
              <w:rPr>
                <w:rFonts w:ascii="Times" w:hAnsi="Times"/>
                <w:lang w:eastAsia="ja-JP"/>
              </w:rPr>
            </w:pPr>
            <w:r w:rsidRPr="00A133B3">
              <w:rPr>
                <w:lang w:eastAsia="ja-JP"/>
              </w:rPr>
              <w:t>Week 1</w:t>
            </w:r>
          </w:p>
        </w:tc>
        <w:tc>
          <w:tcPr>
            <w:tcW w:w="7920" w:type="dxa"/>
          </w:tcPr>
          <w:p w:rsidR="00110525" w:rsidRPr="00A133B3" w:rsidRDefault="001177EB">
            <w:pPr>
              <w:rPr>
                <w:rFonts w:ascii="Times" w:hAnsi="Times"/>
                <w:lang w:eastAsia="ja-JP"/>
              </w:rPr>
            </w:pPr>
            <w:r w:rsidRPr="00A133B3">
              <w:rPr>
                <w:lang w:eastAsia="ja-JP"/>
              </w:rPr>
              <w:t>Ch 1 Your Invitation to Healthy Change; and Ch 2 Emotional and Spiritual Well-Being</w:t>
            </w:r>
          </w:p>
        </w:tc>
      </w:tr>
      <w:tr w:rsidR="00110525" w:rsidRPr="00A133B3">
        <w:tc>
          <w:tcPr>
            <w:tcW w:w="1440" w:type="dxa"/>
          </w:tcPr>
          <w:p w:rsidR="00110525" w:rsidRPr="00A133B3" w:rsidRDefault="001177EB">
            <w:pPr>
              <w:rPr>
                <w:rFonts w:ascii="Times" w:hAnsi="Times"/>
                <w:lang w:eastAsia="ja-JP"/>
              </w:rPr>
            </w:pPr>
            <w:r w:rsidRPr="00A133B3">
              <w:rPr>
                <w:lang w:eastAsia="ja-JP"/>
              </w:rPr>
              <w:t>Week 2</w:t>
            </w:r>
          </w:p>
        </w:tc>
        <w:tc>
          <w:tcPr>
            <w:tcW w:w="7920" w:type="dxa"/>
          </w:tcPr>
          <w:p w:rsidR="00110525" w:rsidRPr="00A133B3" w:rsidRDefault="001177EB">
            <w:pPr>
              <w:rPr>
                <w:rFonts w:ascii="Times" w:hAnsi="Times"/>
                <w:lang w:eastAsia="ja-JP"/>
              </w:rPr>
            </w:pPr>
            <w:r w:rsidRPr="00A133B3">
              <w:rPr>
                <w:lang w:eastAsia="ja-JP"/>
              </w:rPr>
              <w:t>Finish Ch 2; and Ch 3 Personal Stress Management</w:t>
            </w:r>
          </w:p>
        </w:tc>
      </w:tr>
      <w:tr w:rsidR="00110525" w:rsidRPr="00A133B3">
        <w:tc>
          <w:tcPr>
            <w:tcW w:w="1440" w:type="dxa"/>
          </w:tcPr>
          <w:p w:rsidR="00110525" w:rsidRPr="00A133B3" w:rsidRDefault="001177EB">
            <w:pPr>
              <w:rPr>
                <w:rFonts w:ascii="Times" w:hAnsi="Times"/>
                <w:lang w:eastAsia="ja-JP"/>
              </w:rPr>
            </w:pPr>
            <w:r w:rsidRPr="00A133B3">
              <w:rPr>
                <w:lang w:eastAsia="ja-JP"/>
              </w:rPr>
              <w:t>Week 3</w:t>
            </w:r>
          </w:p>
        </w:tc>
        <w:tc>
          <w:tcPr>
            <w:tcW w:w="7920" w:type="dxa"/>
          </w:tcPr>
          <w:p w:rsidR="00110525" w:rsidRPr="00A133B3" w:rsidRDefault="001177EB">
            <w:pPr>
              <w:rPr>
                <w:rFonts w:ascii="Times" w:hAnsi="Times"/>
                <w:lang w:eastAsia="ja-JP"/>
              </w:rPr>
            </w:pPr>
            <w:r w:rsidRPr="00A133B3">
              <w:rPr>
                <w:lang w:eastAsia="ja-JP"/>
              </w:rPr>
              <w:t>Ch 4 Your Mental Health; and Ch 5 Joy of Fitness</w:t>
            </w:r>
          </w:p>
        </w:tc>
      </w:tr>
      <w:tr w:rsidR="00110525" w:rsidRPr="00A133B3">
        <w:tc>
          <w:tcPr>
            <w:tcW w:w="1440" w:type="dxa"/>
          </w:tcPr>
          <w:p w:rsidR="00110525" w:rsidRPr="00A133B3" w:rsidRDefault="001177EB">
            <w:pPr>
              <w:rPr>
                <w:rFonts w:ascii="Times" w:hAnsi="Times"/>
                <w:lang w:eastAsia="ja-JP"/>
              </w:rPr>
            </w:pPr>
            <w:r w:rsidRPr="00A133B3">
              <w:rPr>
                <w:lang w:eastAsia="ja-JP"/>
              </w:rPr>
              <w:t>Week 4</w:t>
            </w:r>
          </w:p>
        </w:tc>
        <w:tc>
          <w:tcPr>
            <w:tcW w:w="7920" w:type="dxa"/>
          </w:tcPr>
          <w:p w:rsidR="00110525" w:rsidRPr="00A133B3" w:rsidRDefault="001177EB">
            <w:pPr>
              <w:rPr>
                <w:rFonts w:ascii="Times" w:hAnsi="Times"/>
                <w:lang w:eastAsia="ja-JP"/>
              </w:rPr>
            </w:pPr>
            <w:r w:rsidRPr="00A133B3">
              <w:rPr>
                <w:lang w:eastAsia="ja-JP"/>
              </w:rPr>
              <w:t xml:space="preserve">Finish Ch 5; and Ch 6 Personal Nutrition; </w:t>
            </w:r>
          </w:p>
        </w:tc>
      </w:tr>
      <w:tr w:rsidR="00110525" w:rsidRPr="00A133B3">
        <w:tc>
          <w:tcPr>
            <w:tcW w:w="1440" w:type="dxa"/>
          </w:tcPr>
          <w:p w:rsidR="00110525" w:rsidRPr="00A133B3" w:rsidRDefault="001177EB">
            <w:pPr>
              <w:rPr>
                <w:rFonts w:ascii="Times" w:hAnsi="Times"/>
                <w:lang w:eastAsia="ja-JP"/>
              </w:rPr>
            </w:pPr>
            <w:r w:rsidRPr="00A133B3">
              <w:rPr>
                <w:lang w:eastAsia="ja-JP"/>
              </w:rPr>
              <w:t>Week 5</w:t>
            </w:r>
          </w:p>
        </w:tc>
        <w:tc>
          <w:tcPr>
            <w:tcW w:w="7920" w:type="dxa"/>
          </w:tcPr>
          <w:p w:rsidR="00110525" w:rsidRPr="00A133B3" w:rsidRDefault="001177EB">
            <w:pPr>
              <w:rPr>
                <w:rFonts w:ascii="Times" w:hAnsi="Times"/>
                <w:lang w:eastAsia="ja-JP"/>
              </w:rPr>
            </w:pPr>
            <w:r w:rsidRPr="00A133B3">
              <w:rPr>
                <w:lang w:eastAsia="ja-JP"/>
              </w:rPr>
              <w:t>Ch 7 Taking Control of Your Weight; and Health Change Plan Part 1 due (class presentation)</w:t>
            </w:r>
          </w:p>
        </w:tc>
      </w:tr>
    </w:tbl>
    <w:p w:rsidR="00110525" w:rsidRPr="00A133B3" w:rsidRDefault="00110525">
      <w:pPr>
        <w:rPr>
          <w:b/>
          <w:lang w:eastAsia="ja-JP"/>
        </w:rPr>
      </w:pPr>
    </w:p>
    <w:p w:rsidR="00110525" w:rsidRPr="00A133B3" w:rsidRDefault="001177EB">
      <w:pPr>
        <w:rPr>
          <w:lang w:eastAsia="ja-JP"/>
        </w:rPr>
      </w:pPr>
      <w:r w:rsidRPr="00A133B3">
        <w:rPr>
          <w:b/>
          <w:lang w:eastAsia="ja-JP"/>
        </w:rPr>
        <w:t xml:space="preserve">First test </w:t>
      </w:r>
      <w:r w:rsidRPr="00A133B3">
        <w:rPr>
          <w:lang w:eastAsia="ja-JP"/>
        </w:rPr>
        <w:t>- This online 50 multiple-choice item exam covers material from Ch 1 through Ch 7.</w:t>
      </w:r>
    </w:p>
    <w:p w:rsidR="00110525" w:rsidRPr="00A133B3" w:rsidRDefault="00110525">
      <w:pPr>
        <w:rPr>
          <w:lang w:eastAsia="ja-JP"/>
        </w:rPr>
      </w:pPr>
    </w:p>
    <w:tbl>
      <w:tblPr>
        <w:tblW w:w="0" w:type="auto"/>
        <w:tblInd w:w="120" w:type="dxa"/>
        <w:tblLayout w:type="fixed"/>
        <w:tblCellMar>
          <w:left w:w="120" w:type="dxa"/>
          <w:right w:w="120" w:type="dxa"/>
        </w:tblCellMar>
        <w:tblLook w:val="0000"/>
      </w:tblPr>
      <w:tblGrid>
        <w:gridCol w:w="1440"/>
        <w:gridCol w:w="7920"/>
      </w:tblGrid>
      <w:tr w:rsidR="00110525" w:rsidRPr="00A133B3">
        <w:tc>
          <w:tcPr>
            <w:tcW w:w="1440" w:type="dxa"/>
          </w:tcPr>
          <w:p w:rsidR="00110525" w:rsidRPr="00A133B3" w:rsidRDefault="001177EB">
            <w:pPr>
              <w:rPr>
                <w:rFonts w:ascii="Times" w:hAnsi="Times"/>
                <w:lang w:eastAsia="ja-JP"/>
              </w:rPr>
            </w:pPr>
            <w:r w:rsidRPr="00A133B3">
              <w:rPr>
                <w:lang w:eastAsia="ja-JP"/>
              </w:rPr>
              <w:t>Week 6</w:t>
            </w:r>
          </w:p>
        </w:tc>
        <w:tc>
          <w:tcPr>
            <w:tcW w:w="7920" w:type="dxa"/>
          </w:tcPr>
          <w:p w:rsidR="00110525" w:rsidRPr="00A133B3" w:rsidRDefault="001177EB">
            <w:pPr>
              <w:rPr>
                <w:rFonts w:ascii="Times" w:hAnsi="Times"/>
                <w:lang w:eastAsia="ja-JP"/>
              </w:rPr>
            </w:pPr>
            <w:r w:rsidRPr="00A133B3">
              <w:rPr>
                <w:lang w:eastAsia="ja-JP"/>
              </w:rPr>
              <w:t>Ch 8 Commu</w:t>
            </w:r>
            <w:r w:rsidR="00C2505E">
              <w:rPr>
                <w:lang w:eastAsia="ja-JP"/>
              </w:rPr>
              <w:t xml:space="preserve">nicating and Relating; and </w:t>
            </w:r>
            <w:r w:rsidRPr="00A133B3">
              <w:rPr>
                <w:lang w:eastAsia="ja-JP"/>
              </w:rPr>
              <w:t>Ch 9 Personal Sexuality</w:t>
            </w:r>
          </w:p>
        </w:tc>
      </w:tr>
      <w:tr w:rsidR="00110525" w:rsidRPr="00A133B3">
        <w:tc>
          <w:tcPr>
            <w:tcW w:w="1440" w:type="dxa"/>
          </w:tcPr>
          <w:p w:rsidR="00110525" w:rsidRPr="00A133B3" w:rsidRDefault="001177EB">
            <w:pPr>
              <w:rPr>
                <w:rFonts w:ascii="Times" w:hAnsi="Times"/>
                <w:lang w:eastAsia="ja-JP"/>
              </w:rPr>
            </w:pPr>
            <w:r w:rsidRPr="00A133B3">
              <w:rPr>
                <w:lang w:eastAsia="ja-JP"/>
              </w:rPr>
              <w:t>Week 7</w:t>
            </w:r>
          </w:p>
        </w:tc>
        <w:tc>
          <w:tcPr>
            <w:tcW w:w="7920" w:type="dxa"/>
          </w:tcPr>
          <w:p w:rsidR="00110525" w:rsidRPr="00A133B3" w:rsidRDefault="001177EB">
            <w:pPr>
              <w:rPr>
                <w:rFonts w:ascii="Times" w:hAnsi="Times"/>
                <w:lang w:eastAsia="ja-JP"/>
              </w:rPr>
            </w:pPr>
            <w:r w:rsidRPr="00A133B3">
              <w:rPr>
                <w:lang w:eastAsia="ja-JP"/>
              </w:rPr>
              <w:t>Finish Ch 9; and Ch 10 Reproductive Choices</w:t>
            </w:r>
          </w:p>
        </w:tc>
      </w:tr>
      <w:tr w:rsidR="00110525" w:rsidRPr="00A133B3">
        <w:tc>
          <w:tcPr>
            <w:tcW w:w="1440" w:type="dxa"/>
          </w:tcPr>
          <w:p w:rsidR="00110525" w:rsidRPr="00A133B3" w:rsidRDefault="001177EB">
            <w:pPr>
              <w:rPr>
                <w:rFonts w:ascii="Times" w:hAnsi="Times"/>
                <w:lang w:eastAsia="ja-JP"/>
              </w:rPr>
            </w:pPr>
            <w:r w:rsidRPr="00A133B3">
              <w:rPr>
                <w:lang w:eastAsia="ja-JP"/>
              </w:rPr>
              <w:t>Week 8</w:t>
            </w:r>
          </w:p>
        </w:tc>
        <w:tc>
          <w:tcPr>
            <w:tcW w:w="7920" w:type="dxa"/>
          </w:tcPr>
          <w:p w:rsidR="00110525" w:rsidRPr="00A133B3" w:rsidRDefault="001177EB">
            <w:pPr>
              <w:rPr>
                <w:rFonts w:ascii="Times" w:hAnsi="Times"/>
                <w:lang w:eastAsia="ja-JP"/>
              </w:rPr>
            </w:pPr>
            <w:r w:rsidRPr="00A133B3">
              <w:rPr>
                <w:lang w:eastAsia="ja-JP"/>
              </w:rPr>
              <w:t>Ch 11 Avoiding Addictive Behaviors and Drug Abuse; and Ch 12 Alcohol Use, Misuse and Abuse</w:t>
            </w:r>
          </w:p>
        </w:tc>
      </w:tr>
      <w:tr w:rsidR="00110525" w:rsidRPr="00A133B3">
        <w:tc>
          <w:tcPr>
            <w:tcW w:w="1440" w:type="dxa"/>
          </w:tcPr>
          <w:p w:rsidR="00110525" w:rsidRPr="00A133B3" w:rsidRDefault="001177EB">
            <w:pPr>
              <w:rPr>
                <w:rFonts w:ascii="Times" w:hAnsi="Times"/>
                <w:lang w:eastAsia="ja-JP"/>
              </w:rPr>
            </w:pPr>
            <w:r w:rsidRPr="00A133B3">
              <w:rPr>
                <w:lang w:eastAsia="ja-JP"/>
              </w:rPr>
              <w:t>Week 9</w:t>
            </w:r>
          </w:p>
        </w:tc>
        <w:tc>
          <w:tcPr>
            <w:tcW w:w="7920" w:type="dxa"/>
          </w:tcPr>
          <w:p w:rsidR="00110525" w:rsidRPr="00A133B3" w:rsidRDefault="001177EB">
            <w:pPr>
              <w:rPr>
                <w:rFonts w:ascii="Times" w:hAnsi="Times"/>
                <w:lang w:eastAsia="ja-JP"/>
              </w:rPr>
            </w:pPr>
            <w:r w:rsidRPr="00A133B3">
              <w:rPr>
                <w:rFonts w:ascii="Times" w:hAnsi="Times"/>
                <w:lang w:eastAsia="ja-JP"/>
              </w:rPr>
              <w:t xml:space="preserve">Finish Ch 12; </w:t>
            </w:r>
            <w:r w:rsidRPr="00A133B3">
              <w:rPr>
                <w:lang w:eastAsia="ja-JP"/>
              </w:rPr>
              <w:t>Ch 13 Tobacco Use, Misuse and Abuse; and Health Change Plan Part II due (class presentations)</w:t>
            </w:r>
          </w:p>
        </w:tc>
      </w:tr>
    </w:tbl>
    <w:p w:rsidR="00110525" w:rsidRPr="00A133B3" w:rsidRDefault="00110525">
      <w:pPr>
        <w:rPr>
          <w:b/>
          <w:lang w:eastAsia="ja-JP"/>
        </w:rPr>
      </w:pPr>
    </w:p>
    <w:p w:rsidR="00110525" w:rsidRPr="00A133B3" w:rsidRDefault="001177EB">
      <w:pPr>
        <w:rPr>
          <w:lang w:eastAsia="ja-JP"/>
        </w:rPr>
      </w:pPr>
      <w:r w:rsidRPr="00A133B3">
        <w:rPr>
          <w:b/>
          <w:lang w:eastAsia="ja-JP"/>
        </w:rPr>
        <w:t xml:space="preserve">Second test </w:t>
      </w:r>
      <w:r w:rsidRPr="00A133B3">
        <w:rPr>
          <w:lang w:eastAsia="ja-JP"/>
        </w:rPr>
        <w:t xml:space="preserve">- This online 50 multiple-choice item exam covers material from Ch 8 through Ch 13. </w:t>
      </w:r>
    </w:p>
    <w:p w:rsidR="00110525" w:rsidRPr="00A133B3" w:rsidRDefault="00110525">
      <w:pPr>
        <w:rPr>
          <w:lang w:eastAsia="ja-JP"/>
        </w:rPr>
      </w:pP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428"/>
        <w:gridCol w:w="8028"/>
      </w:tblGrid>
      <w:tr w:rsidR="00110525" w:rsidRPr="00A133B3">
        <w:tc>
          <w:tcPr>
            <w:tcW w:w="1428" w:type="dxa"/>
          </w:tcPr>
          <w:p w:rsidR="00110525" w:rsidRPr="00A133B3" w:rsidRDefault="001177EB">
            <w:pPr>
              <w:rPr>
                <w:rFonts w:ascii="Times" w:hAnsi="Times"/>
                <w:lang w:eastAsia="ja-JP"/>
              </w:rPr>
            </w:pPr>
            <w:r w:rsidRPr="00A133B3">
              <w:rPr>
                <w:lang w:eastAsia="ja-JP"/>
              </w:rPr>
              <w:t>Week 10</w:t>
            </w:r>
          </w:p>
        </w:tc>
        <w:tc>
          <w:tcPr>
            <w:tcW w:w="8028" w:type="dxa"/>
          </w:tcPr>
          <w:p w:rsidR="00110525" w:rsidRPr="00A133B3" w:rsidRDefault="001177EB">
            <w:pPr>
              <w:rPr>
                <w:rFonts w:ascii="Times" w:hAnsi="Times"/>
                <w:lang w:eastAsia="ja-JP"/>
              </w:rPr>
            </w:pPr>
            <w:r w:rsidRPr="00A133B3">
              <w:rPr>
                <w:lang w:eastAsia="ja-JP"/>
              </w:rPr>
              <w:t>Ch 14 Preventing Majors Diseases; and Ch 15 Avoiding Infectious Diseases</w:t>
            </w:r>
          </w:p>
        </w:tc>
      </w:tr>
      <w:tr w:rsidR="00110525" w:rsidRPr="00A133B3">
        <w:tc>
          <w:tcPr>
            <w:tcW w:w="1428" w:type="dxa"/>
          </w:tcPr>
          <w:p w:rsidR="00110525" w:rsidRPr="00A133B3" w:rsidRDefault="001177EB">
            <w:pPr>
              <w:rPr>
                <w:rFonts w:ascii="Times" w:hAnsi="Times"/>
                <w:lang w:eastAsia="ja-JP"/>
              </w:rPr>
            </w:pPr>
            <w:r w:rsidRPr="00A133B3">
              <w:rPr>
                <w:lang w:eastAsia="ja-JP"/>
              </w:rPr>
              <w:t xml:space="preserve"> Week 11</w:t>
            </w:r>
          </w:p>
        </w:tc>
        <w:tc>
          <w:tcPr>
            <w:tcW w:w="8028" w:type="dxa"/>
          </w:tcPr>
          <w:p w:rsidR="00110525" w:rsidRPr="00A133B3" w:rsidRDefault="001177EB">
            <w:pPr>
              <w:rPr>
                <w:rFonts w:ascii="Times" w:hAnsi="Times"/>
                <w:lang w:eastAsia="ja-JP"/>
              </w:rPr>
            </w:pPr>
            <w:r w:rsidRPr="00A133B3">
              <w:rPr>
                <w:lang w:eastAsia="ja-JP"/>
              </w:rPr>
              <w:t>Finish Ch 15 /Ch 16 Lowering Your Risk of Sexually Transmitted Infections</w:t>
            </w:r>
          </w:p>
        </w:tc>
      </w:tr>
      <w:tr w:rsidR="00110525" w:rsidRPr="00A133B3">
        <w:tc>
          <w:tcPr>
            <w:tcW w:w="1428" w:type="dxa"/>
          </w:tcPr>
          <w:p w:rsidR="00110525" w:rsidRPr="00A133B3" w:rsidRDefault="001177EB">
            <w:pPr>
              <w:rPr>
                <w:rFonts w:ascii="Times" w:hAnsi="Times"/>
                <w:lang w:eastAsia="ja-JP"/>
              </w:rPr>
            </w:pPr>
            <w:r w:rsidRPr="00A133B3">
              <w:rPr>
                <w:lang w:eastAsia="ja-JP"/>
              </w:rPr>
              <w:t>Week 12</w:t>
            </w:r>
          </w:p>
        </w:tc>
        <w:tc>
          <w:tcPr>
            <w:tcW w:w="8028" w:type="dxa"/>
          </w:tcPr>
          <w:p w:rsidR="00110525" w:rsidRPr="00A133B3" w:rsidRDefault="001177EB">
            <w:pPr>
              <w:rPr>
                <w:rFonts w:ascii="Times" w:hAnsi="Times"/>
                <w:lang w:eastAsia="ja-JP"/>
              </w:rPr>
            </w:pPr>
            <w:r w:rsidRPr="00A133B3">
              <w:rPr>
                <w:lang w:eastAsia="ja-JP"/>
              </w:rPr>
              <w:t>Ch 17 Getting Quality Traditional and Nontraditional Health Care; and Ch 18 Protecting Yourself from Injury, Violence and Victimization</w:t>
            </w:r>
          </w:p>
        </w:tc>
      </w:tr>
      <w:tr w:rsidR="00110525" w:rsidRPr="00A133B3">
        <w:tc>
          <w:tcPr>
            <w:tcW w:w="1428" w:type="dxa"/>
          </w:tcPr>
          <w:p w:rsidR="00110525" w:rsidRPr="00A133B3" w:rsidRDefault="001177EB">
            <w:pPr>
              <w:rPr>
                <w:rFonts w:ascii="Times" w:hAnsi="Times"/>
                <w:lang w:eastAsia="ja-JP"/>
              </w:rPr>
            </w:pPr>
            <w:r w:rsidRPr="00A133B3">
              <w:rPr>
                <w:lang w:eastAsia="ja-JP"/>
              </w:rPr>
              <w:t>Week 13</w:t>
            </w:r>
          </w:p>
        </w:tc>
        <w:tc>
          <w:tcPr>
            <w:tcW w:w="8028" w:type="dxa"/>
          </w:tcPr>
          <w:p w:rsidR="00110525" w:rsidRPr="00A133B3" w:rsidRDefault="001177EB">
            <w:pPr>
              <w:rPr>
                <w:rFonts w:ascii="Times" w:hAnsi="Times"/>
                <w:lang w:eastAsia="ja-JP"/>
              </w:rPr>
            </w:pPr>
            <w:r w:rsidRPr="00A133B3">
              <w:rPr>
                <w:lang w:eastAsia="ja-JP"/>
              </w:rPr>
              <w:t>Finish Ch 18; and Ch 19 Working Toward a Healthy Environment</w:t>
            </w:r>
          </w:p>
        </w:tc>
      </w:tr>
      <w:tr w:rsidR="00110525" w:rsidRPr="00A133B3">
        <w:tc>
          <w:tcPr>
            <w:tcW w:w="1428" w:type="dxa"/>
          </w:tcPr>
          <w:p w:rsidR="00110525" w:rsidRPr="00A133B3" w:rsidRDefault="001177EB">
            <w:pPr>
              <w:rPr>
                <w:rFonts w:ascii="Times" w:hAnsi="Times"/>
                <w:lang w:eastAsia="ja-JP"/>
              </w:rPr>
            </w:pPr>
            <w:r w:rsidRPr="00A133B3">
              <w:rPr>
                <w:lang w:eastAsia="ja-JP"/>
              </w:rPr>
              <w:t>Week 14</w:t>
            </w:r>
          </w:p>
        </w:tc>
        <w:tc>
          <w:tcPr>
            <w:tcW w:w="8028" w:type="dxa"/>
          </w:tcPr>
          <w:p w:rsidR="00110525" w:rsidRPr="00A133B3" w:rsidRDefault="00055026">
            <w:pPr>
              <w:rPr>
                <w:rFonts w:ascii="Times" w:hAnsi="Times"/>
                <w:lang w:eastAsia="ja-JP"/>
              </w:rPr>
            </w:pPr>
            <w:r>
              <w:rPr>
                <w:lang w:eastAsia="ja-JP"/>
              </w:rPr>
              <w:t xml:space="preserve">Ch 20 A Lifetime of Health; </w:t>
            </w:r>
            <w:r w:rsidR="001177EB" w:rsidRPr="00A133B3">
              <w:rPr>
                <w:lang w:eastAsia="ja-JP"/>
              </w:rPr>
              <w:t>Change Plan Part III due (class presentations)</w:t>
            </w:r>
          </w:p>
        </w:tc>
      </w:tr>
    </w:tbl>
    <w:p w:rsidR="00110525" w:rsidRPr="00A133B3" w:rsidRDefault="00110525">
      <w:pPr>
        <w:rPr>
          <w:b/>
          <w:lang w:eastAsia="ja-JP"/>
        </w:rPr>
      </w:pPr>
    </w:p>
    <w:p w:rsidR="00110525" w:rsidRPr="00A133B3" w:rsidRDefault="001177EB">
      <w:pPr>
        <w:rPr>
          <w:lang w:eastAsia="ja-JP"/>
        </w:rPr>
      </w:pPr>
      <w:r w:rsidRPr="00A133B3">
        <w:rPr>
          <w:b/>
          <w:lang w:eastAsia="ja-JP"/>
        </w:rPr>
        <w:t xml:space="preserve">Third Test </w:t>
      </w:r>
      <w:r w:rsidRPr="00A133B3">
        <w:rPr>
          <w:lang w:eastAsia="ja-JP"/>
        </w:rPr>
        <w:t xml:space="preserve">- This online 50 multiple-choice item exam covers material from Ch 14 through Ch 20. </w:t>
      </w:r>
    </w:p>
    <w:p w:rsidR="00110525" w:rsidRDefault="001177EB">
      <w:pPr>
        <w:rPr>
          <w:rFonts w:ascii="Times" w:hAnsi="Times"/>
          <w:sz w:val="17"/>
          <w:lang w:eastAsia="ja-JP"/>
        </w:rPr>
      </w:pPr>
      <w:r>
        <w:rPr>
          <w:rFonts w:ascii="Times" w:hAnsi="Times"/>
          <w:sz w:val="17"/>
          <w:lang w:eastAsia="ja-JP"/>
        </w:rPr>
        <w:tab/>
        <w:t>.</w:t>
      </w:r>
    </w:p>
    <w:tbl>
      <w:tblPr>
        <w:tblW w:w="10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000"/>
      </w:tblPr>
      <w:tblGrid>
        <w:gridCol w:w="2840"/>
        <w:gridCol w:w="7380"/>
      </w:tblGrid>
      <w:tr w:rsidR="00110525" w:rsidRPr="004A2770">
        <w:tc>
          <w:tcPr>
            <w:tcW w:w="2840" w:type="dxa"/>
            <w:tcBorders>
              <w:top w:val="single" w:sz="4" w:space="0" w:color="auto"/>
              <w:left w:val="single" w:sz="4" w:space="0" w:color="auto"/>
              <w:bottom w:val="single" w:sz="4" w:space="0" w:color="auto"/>
              <w:right w:val="single" w:sz="4" w:space="0" w:color="auto"/>
            </w:tcBorders>
          </w:tcPr>
          <w:p w:rsidR="00110525" w:rsidRPr="004A2770" w:rsidRDefault="001177EB">
            <w:pPr>
              <w:pStyle w:val="NormalWeb"/>
              <w:rPr>
                <w:rFonts w:ascii="Times New Roman" w:hAnsi="Times New Roman"/>
                <w:lang w:eastAsia="ja-JP"/>
              </w:rPr>
            </w:pPr>
            <w:r>
              <w:rPr>
                <w:noProof/>
              </w:rPr>
              <w:drawing>
                <wp:inline distT="0" distB="0" distL="0" distR="0">
                  <wp:extent cx="931545" cy="558800"/>
                  <wp:effectExtent l="2540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ve:Choice xmlns:ma="http://schemas.microsoft.com/office/mac/drawingml/2008/main" xmlns:w="http://schemas.openxmlformats.org/wordprocessingml/2006/main" xmlns:w10="urn:schemas-microsoft-com:office:word" xmlns:v="urn:schemas-microsoft-com:vml" xmlns:o="urn:schemas-microsoft-com:office:office" xmlns:mo="http://schemas.microsoft.com/office/mac/office/2008/main" xmlns:mv="urn:schemas-microsoft-com:mac:vml" xmlns="" Requires="ma">
                            <pic:blipFill>
                              <a:blip r:embed="rId6"/>
                              <a:srcRect/>
                              <a:stretch>
                                <a:fillRect/>
                              </a:stretch>
                            </pic:blipFill>
                          </ve:Choice>
                          <ve:Fallback>
                            <pic:blipFill>
                              <a:blip r:embed="rId7"/>
                              <a:srcRect/>
                              <a:stretch>
                                <a:fillRect/>
                              </a:stretch>
                            </pic:blipFill>
                          </ve:Fallback>
                        </ve:AlternateContent>
                        <pic:spPr bwMode="auto">
                          <a:xfrm>
                            <a:off x="0" y="0"/>
                            <a:ext cx="931545" cy="558800"/>
                          </a:xfrm>
                          <a:prstGeom prst="rect">
                            <a:avLst/>
                          </a:prstGeom>
                          <a:noFill/>
                          <a:ln w="9525">
                            <a:noFill/>
                            <a:miter lim="800000"/>
                            <a:headEnd/>
                            <a:tailEnd/>
                          </a:ln>
                        </pic:spPr>
                      </pic:pic>
                    </a:graphicData>
                  </a:graphic>
                </wp:inline>
              </w:drawing>
            </w:r>
          </w:p>
          <w:p w:rsidR="00110525" w:rsidRPr="004A2770" w:rsidRDefault="001177EB">
            <w:pPr>
              <w:pStyle w:val="NormalWeb"/>
              <w:rPr>
                <w:rFonts w:ascii="Times New Roman" w:hAnsi="Times New Roman"/>
                <w:lang w:eastAsia="ja-JP"/>
              </w:rPr>
            </w:pPr>
            <w:r w:rsidRPr="004A2770">
              <w:rPr>
                <w:rFonts w:ascii="Times New Roman" w:hAnsi="Times New Roman"/>
                <w:sz w:val="18"/>
                <w:lang w:eastAsia="ja-JP"/>
              </w:rPr>
              <w:t>http://rht.gmu.edu</w:t>
            </w:r>
          </w:p>
        </w:tc>
        <w:tc>
          <w:tcPr>
            <w:tcW w:w="7380" w:type="dxa"/>
            <w:tcBorders>
              <w:top w:val="single" w:sz="4" w:space="0" w:color="auto"/>
              <w:left w:val="single" w:sz="4" w:space="0" w:color="auto"/>
              <w:bottom w:val="single" w:sz="4" w:space="0" w:color="auto"/>
              <w:right w:val="single" w:sz="4" w:space="0" w:color="auto"/>
            </w:tcBorders>
          </w:tcPr>
          <w:p w:rsidR="00110525" w:rsidRPr="004A2770" w:rsidRDefault="001177EB">
            <w:pPr>
              <w:pStyle w:val="NormalWeb"/>
              <w:rPr>
                <w:rFonts w:ascii="Times New Roman" w:hAnsi="Times New Roman"/>
                <w:sz w:val="18"/>
                <w:lang w:eastAsia="ja-JP"/>
              </w:rPr>
            </w:pPr>
            <w:r w:rsidRPr="004A2770">
              <w:rPr>
                <w:rFonts w:ascii="Times New Roman" w:hAnsi="Times New Roman"/>
                <w:sz w:val="18"/>
                <w:lang w:eastAsia="ja-JP"/>
              </w:rPr>
              <w:t>Our School follows all academic and general policies contained within the University’s Catalog among which are:</w:t>
            </w:r>
          </w:p>
          <w:p w:rsidR="00110525" w:rsidRPr="004A2770" w:rsidRDefault="001177EB">
            <w:pPr>
              <w:pStyle w:val="NormalWeb"/>
              <w:rPr>
                <w:rFonts w:ascii="Times New Roman" w:hAnsi="Times New Roman"/>
                <w:sz w:val="18"/>
                <w:lang w:eastAsia="ja-JP"/>
              </w:rPr>
            </w:pPr>
            <w:r w:rsidRPr="004A2770">
              <w:rPr>
                <w:rFonts w:ascii="Times New Roman" w:hAnsi="Times New Roman"/>
                <w:sz w:val="18"/>
                <w:lang w:eastAsia="ja-JP"/>
              </w:rPr>
              <w:t xml:space="preserve">• All students are held to the standards of the George Mason University Honor Code. </w:t>
            </w:r>
          </w:p>
          <w:p w:rsidR="00110525" w:rsidRPr="004A2770" w:rsidRDefault="001177EB">
            <w:pPr>
              <w:pStyle w:val="NormalWeb"/>
              <w:rPr>
                <w:rFonts w:ascii="Times New Roman" w:hAnsi="Times New Roman"/>
                <w:sz w:val="18"/>
                <w:lang w:eastAsia="ja-JP"/>
              </w:rPr>
            </w:pPr>
            <w:r w:rsidRPr="004A2770">
              <w:rPr>
                <w:rFonts w:ascii="Times New Roman" w:hAnsi="Times New Roman"/>
                <w:sz w:val="18"/>
                <w:lang w:eastAsia="ja-JP"/>
              </w:rPr>
              <w:t>• Students having documentation on file at the Disability Resource Center should bring this to the attention of the instructor.</w:t>
            </w:r>
          </w:p>
          <w:p w:rsidR="00110525" w:rsidRPr="00943A7B" w:rsidRDefault="001177EB" w:rsidP="00110525">
            <w:pPr>
              <w:pStyle w:val="BodyText"/>
            </w:pPr>
            <w:r w:rsidRPr="00943A7B">
              <w:t xml:space="preserve">• Students are expected to attend the class periods of the courses for which they register. In-class participation is important not only to the individual student, but also to the class as a whole. Because class participation may be a factor in grading, instructors may use absence, tardiness, or early departure as de facto evidence of nonparticipation. </w:t>
            </w:r>
          </w:p>
          <w:p w:rsidR="00110525" w:rsidRPr="004A2770" w:rsidRDefault="001177EB" w:rsidP="00110525">
            <w:pPr>
              <w:pStyle w:val="BodyText"/>
              <w:rPr>
                <w:lang w:eastAsia="ja-JP"/>
              </w:rPr>
            </w:pPr>
            <w:r w:rsidRPr="008721A0">
              <w:t>• University policy states that all sound emitting devices shall be turned off during class unless otherwise authorized by the professor.</w:t>
            </w:r>
          </w:p>
        </w:tc>
      </w:tr>
    </w:tbl>
    <w:p w:rsidR="00110525" w:rsidRDefault="00110525">
      <w:pPr>
        <w:rPr>
          <w:rFonts w:ascii="Times" w:hAnsi="Times"/>
          <w:sz w:val="24"/>
          <w:lang w:eastAsia="ja-JP"/>
        </w:rPr>
      </w:pPr>
    </w:p>
    <w:sectPr w:rsidR="00110525" w:rsidSect="00110525">
      <w:footerReference w:type="default" r:id="rId8"/>
      <w:pgSz w:w="12240" w:h="15840"/>
      <w:pgMar w:top="1152" w:right="1152" w:bottom="1152" w:left="1152" w:header="432" w:footer="115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FB6" w:rsidRDefault="00002FB6" w:rsidP="00F677D0">
      <w:r>
        <w:separator/>
      </w:r>
    </w:p>
  </w:endnote>
  <w:endnote w:type="continuationSeparator" w:id="0">
    <w:p w:rsidR="00002FB6" w:rsidRDefault="00002FB6" w:rsidP="00F67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05E" w:rsidRDefault="00F677D0" w:rsidP="00110525">
    <w:pPr>
      <w:pStyle w:val="Footer"/>
      <w:jc w:val="right"/>
    </w:pPr>
    <w:r>
      <w:rPr>
        <w:rStyle w:val="PageNumber"/>
      </w:rPr>
      <w:fldChar w:fldCharType="begin"/>
    </w:r>
    <w:r w:rsidR="00C2505E">
      <w:rPr>
        <w:rStyle w:val="PageNumber"/>
      </w:rPr>
      <w:instrText xml:space="preserve"> PAGE </w:instrText>
    </w:r>
    <w:r>
      <w:rPr>
        <w:rStyle w:val="PageNumber"/>
      </w:rPr>
      <w:fldChar w:fldCharType="separate"/>
    </w:r>
    <w:r w:rsidR="00002FB6">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FB6" w:rsidRDefault="00002FB6" w:rsidP="00F677D0">
      <w:r>
        <w:separator/>
      </w:r>
    </w:p>
  </w:footnote>
  <w:footnote w:type="continuationSeparator" w:id="0">
    <w:p w:rsidR="00002FB6" w:rsidRDefault="00002FB6" w:rsidP="00F677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splitPgBreakAndParaMark/>
  </w:compat>
  <w:rsids>
    <w:rsidRoot w:val="00A134B3"/>
    <w:rsid w:val="00002FB6"/>
    <w:rsid w:val="00055026"/>
    <w:rsid w:val="00110525"/>
    <w:rsid w:val="001177EB"/>
    <w:rsid w:val="001F5CF2"/>
    <w:rsid w:val="00507240"/>
    <w:rsid w:val="005E2F5D"/>
    <w:rsid w:val="00842AD4"/>
    <w:rsid w:val="00924643"/>
    <w:rsid w:val="00A134B3"/>
    <w:rsid w:val="00B1697E"/>
    <w:rsid w:val="00C2505E"/>
    <w:rsid w:val="00C7395D"/>
    <w:rsid w:val="00D01C36"/>
    <w:rsid w:val="00D16623"/>
    <w:rsid w:val="00D74C89"/>
    <w:rsid w:val="00ED62C2"/>
    <w:rsid w:val="00F00518"/>
    <w:rsid w:val="00F677D0"/>
    <w:rsid w:val="00F7643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9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34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134B3"/>
    <w:pPr>
      <w:tabs>
        <w:tab w:val="center" w:pos="4320"/>
        <w:tab w:val="right" w:pos="8640"/>
      </w:tabs>
    </w:pPr>
  </w:style>
  <w:style w:type="paragraph" w:styleId="Footer">
    <w:name w:val="footer"/>
    <w:basedOn w:val="Normal"/>
    <w:semiHidden/>
    <w:rsid w:val="00A134B3"/>
    <w:pPr>
      <w:tabs>
        <w:tab w:val="center" w:pos="4320"/>
        <w:tab w:val="right" w:pos="8640"/>
      </w:tabs>
    </w:pPr>
  </w:style>
  <w:style w:type="character" w:styleId="PageNumber">
    <w:name w:val="page number"/>
    <w:basedOn w:val="DefaultParagraphFont"/>
    <w:rsid w:val="00A134B3"/>
  </w:style>
  <w:style w:type="character" w:styleId="Hyperlink">
    <w:name w:val="Hyperlink"/>
    <w:basedOn w:val="DefaultParagraphFont"/>
    <w:rsid w:val="00A134B3"/>
    <w:rPr>
      <w:color w:val="0000FF"/>
      <w:u w:val="single"/>
    </w:rPr>
  </w:style>
  <w:style w:type="paragraph" w:styleId="NormalWeb">
    <w:name w:val="Normal (Web)"/>
    <w:basedOn w:val="z-TopofForm"/>
    <w:rsid w:val="00DC6EFC"/>
    <w:pPr>
      <w:pBdr>
        <w:bottom w:val="none" w:sz="0" w:space="0" w:color="auto"/>
      </w:pBdr>
      <w:spacing w:before="0" w:after="0"/>
      <w:jc w:val="left"/>
    </w:pPr>
    <w:rPr>
      <w:vanish w:val="0"/>
      <w:sz w:val="20"/>
      <w:szCs w:val="20"/>
    </w:rPr>
  </w:style>
  <w:style w:type="paragraph" w:styleId="BodyText">
    <w:name w:val="Body Text"/>
    <w:basedOn w:val="Normal"/>
    <w:rsid w:val="00DC6EFC"/>
    <w:rPr>
      <w:sz w:val="18"/>
    </w:rPr>
  </w:style>
  <w:style w:type="paragraph" w:styleId="z-TopofForm">
    <w:name w:val="HTML Top of Form"/>
    <w:basedOn w:val="Normal"/>
    <w:next w:val="Normal"/>
    <w:hidden/>
    <w:rsid w:val="00DC6EFC"/>
    <w:pPr>
      <w:pBdr>
        <w:bottom w:val="single" w:sz="6" w:space="1" w:color="000000"/>
      </w:pBdr>
      <w:spacing w:before="100" w:after="100"/>
      <w:jc w:val="center"/>
    </w:pPr>
    <w:rPr>
      <w:rFonts w:ascii="Arial" w:hAnsi="Arial"/>
      <w:vanish/>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d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George Mason University</vt:lpstr>
    </vt:vector>
  </TitlesOfParts>
  <Company>George Mason University</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Mason University</dc:title>
  <dc:subject/>
  <dc:creator>Richard Miller</dc:creator>
  <cp:keywords/>
  <cp:lastModifiedBy>PWC User</cp:lastModifiedBy>
  <cp:revision>2</cp:revision>
  <dcterms:created xsi:type="dcterms:W3CDTF">2009-08-24T17:07:00Z</dcterms:created>
  <dcterms:modified xsi:type="dcterms:W3CDTF">2009-08-24T17:07:00Z</dcterms:modified>
</cp:coreProperties>
</file>